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11314"/>
          <w:spacing w:val="120"/>
          <w:sz w:val="56"/>
          <w:szCs w:val="56"/>
        </w:rPr>
        <w:t xml:space="preserve">DAVID R. CHEN</w:t>
      </w:r>
    </w:p>
    <w:p>
      <w:pPr>
        <w:spacing w:after="80"/>
        <w:jc w:val="center"/>
      </w:pPr>
      <w:r>
        <w:rPr>
          <w:i/>
          <w:iCs/>
          <w:color w:val="16513F"/>
          <w:sz w:val="24"/>
          <w:szCs w:val="24"/>
        </w:rPr>
        <w:t xml:space="preserve">Vice President of Engineering  |  Strategic Technology Leader</w:t>
      </w:r>
    </w:p>
    <w:p>
      <w:pPr>
        <w:spacing w:after="120"/>
        <w:jc w:val="center"/>
      </w:pPr>
      <w:r>
        <w:rPr>
          <w:color w:val="6B7075"/>
          <w:sz w:val="20"/>
          <w:szCs w:val="20"/>
        </w:rPr>
        <w:t xml:space="preserve">San Francisco, CA  ·  (555) 901-2233  ·  david.chen@email.com  ·  linkedin.com/in/davidrchen</w:t>
      </w:r>
    </w:p>
    <w:p>
      <w:pPr>
        <w:pBdr>
          <w:top w:val="single" w:color="16513F" w:sz="8" w:space="6"/>
          <w:bottom w:val="single" w:color="16513F" w:sz="8" w:space="6"/>
        </w:pBdr>
        <w:spacing w:after="140" w:before="280"/>
        <w:jc w:val="center"/>
      </w:pPr>
      <w:r>
        <w:rPr>
          <w:b/>
          <w:bCs/>
          <w:color w:val="16513F"/>
          <w:spacing w:val="100"/>
          <w:sz w:val="22"/>
          <w:szCs w:val="22"/>
        </w:rPr>
        <w:t xml:space="preserve">EXECUTIVE SUMMARY</w:t>
      </w:r>
    </w:p>
    <w:p>
      <w:pPr>
        <w:spacing w:after="100"/>
        <w:jc w:val="both"/>
      </w:pPr>
      <w:r>
        <w:rPr>
          <w:sz w:val="22"/>
          <w:szCs w:val="22"/>
        </w:rPr>
        <w:t xml:space="preserve">Engineering executive with 18 years of experience scaling high-performing technology organizations from startup to public-company scale. Built and led teams of 200+ engineers across infrastructure, product engineering, and platform groups. Track record of delivering measurable business outcomes: $300M+ in attributable revenue, 3 successful M&amp;A integrations, and a 40% reduction in production incidents through cultural and tooling investments.</w:t>
      </w:r>
    </w:p>
    <w:p>
      <w:pPr>
        <w:pBdr>
          <w:top w:val="single" w:color="16513F" w:sz="8" w:space="6"/>
          <w:bottom w:val="single" w:color="16513F" w:sz="8" w:space="6"/>
        </w:pBdr>
        <w:spacing w:after="140" w:before="280"/>
        <w:jc w:val="center"/>
      </w:pPr>
      <w:r>
        <w:rPr>
          <w:b/>
          <w:bCs/>
          <w:color w:val="16513F"/>
          <w:spacing w:val="100"/>
          <w:sz w:val="22"/>
          <w:szCs w:val="22"/>
        </w:rPr>
        <w:t xml:space="preserve">CORE COMPETENCIES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· Technology Strategy</w:t>
            </w:r>
          </w:p>
          <w:p>
            <w:r>
              <w:rPr>
                <w:sz w:val="22"/>
                <w:szCs w:val="22"/>
              </w:rPr>
              <w:t xml:space="preserve">· P&amp;L Ownership</w:t>
            </w:r>
          </w:p>
          <w:p>
            <w:r>
              <w:rPr>
                <w:sz w:val="22"/>
                <w:szCs w:val="22"/>
              </w:rPr>
              <w:t xml:space="preserve">· Hiring &amp; Org Design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· Platform Engineering</w:t>
            </w:r>
          </w:p>
          <w:p>
            <w:r>
              <w:rPr>
                <w:sz w:val="22"/>
                <w:szCs w:val="22"/>
              </w:rPr>
              <w:t xml:space="preserve">· M&amp;A Integration</w:t>
            </w:r>
          </w:p>
          <w:p>
            <w:r>
              <w:rPr>
                <w:sz w:val="22"/>
                <w:szCs w:val="22"/>
              </w:rPr>
              <w:t xml:space="preserve">· Board Reporting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· Cloud / Infra (AWS, GCP)</w:t>
            </w:r>
          </w:p>
          <w:p>
            <w:r>
              <w:rPr>
                <w:sz w:val="22"/>
                <w:szCs w:val="22"/>
              </w:rPr>
              <w:t xml:space="preserve">· AI/ML Adoption</w:t>
            </w:r>
          </w:p>
          <w:p>
            <w:r>
              <w:rPr>
                <w:sz w:val="22"/>
                <w:szCs w:val="22"/>
              </w:rPr>
              <w:t xml:space="preserve">· Security &amp; Compliance</w:t>
            </w:r>
          </w:p>
        </w:tc>
      </w:tr>
    </w:tbl>
    <w:p>
      <w:pPr>
        <w:pBdr>
          <w:top w:val="single" w:color="16513F" w:sz="8" w:space="6"/>
          <w:bottom w:val="single" w:color="16513F" w:sz="8" w:space="6"/>
        </w:pBdr>
        <w:spacing w:after="140" w:before="280"/>
        <w:jc w:val="center"/>
      </w:pPr>
      <w:r>
        <w:rPr>
          <w:b/>
          <w:bCs/>
          <w:color w:val="16513F"/>
          <w:spacing w:val="100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0" w:before="200"/>
      </w:pPr>
      <w:r>
        <w:rPr>
          <w:b/>
          <w:bCs/>
          <w:sz w:val="24"/>
          <w:szCs w:val="24"/>
        </w:rPr>
        <w:t xml:space="preserve">Vice President of Engineering</w:t>
      </w:r>
      <w:r>
        <w:rPr>
          <w:color w:val="6B7075"/>
          <w:sz w:val="22"/>
          <w:szCs w:val="22"/>
        </w:rPr>
        <w:t xml:space="preserve">	2020 — Present</w:t>
      </w:r>
    </w:p>
    <w:p>
      <w:pPr>
        <w:spacing w:after="100"/>
      </w:pPr>
      <w:r>
        <w:rPr>
          <w:i/>
          <w:iCs/>
          <w:color w:val="16513F"/>
          <w:sz w:val="22"/>
          <w:szCs w:val="22"/>
        </w:rPr>
        <w:t xml:space="preserve">NorthStar Technologies (NYSE: NSTR)  ·  San Francisco, CA</w:t>
      </w:r>
    </w:p>
    <w:p>
      <w:pPr>
        <w:spacing w:after="60"/>
      </w:pPr>
      <w:r>
        <w:rPr>
          <w:i/>
          <w:iCs/>
          <w:color w:val="6B7075"/>
          <w:sz w:val="22"/>
          <w:szCs w:val="22"/>
        </w:rPr>
        <w:t xml:space="preserve">Lead a 220-person global engineering organization across 4 product lines for a $480M ARR public SaaS company.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Architected and delivered a multi-tenant platform migration that reduced infrastructure costs by 38% while improving p99 latency 4x.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Grew engineering org from 90 to 220 across 11 hubs while improving employee engagement scores by 18 points.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Championed adoption of AI-assisted development practices, recovering an estimated 12,000 engineering hours annually.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Partnered with CRO and CFO to ship pricing, packaging, and platform changes that drove $42M of net-new ARR.</w:t>
      </w:r>
    </w:p>
    <w:p>
      <w:pPr>
        <w:tabs>
          <w:tab w:val="right" w:pos="9360"/>
        </w:tabs>
        <w:spacing w:after="0" w:before="240"/>
      </w:pPr>
      <w:r>
        <w:rPr>
          <w:b/>
          <w:bCs/>
          <w:sz w:val="24"/>
          <w:szCs w:val="24"/>
        </w:rPr>
        <w:t xml:space="preserve">Senior Director of Engineering</w:t>
      </w:r>
      <w:r>
        <w:rPr>
          <w:color w:val="6B7075"/>
          <w:sz w:val="22"/>
          <w:szCs w:val="22"/>
        </w:rPr>
        <w:t xml:space="preserve">	2016 — 2020</w:t>
      </w:r>
    </w:p>
    <w:p>
      <w:pPr>
        <w:spacing w:after="100"/>
      </w:pPr>
      <w:r>
        <w:rPr>
          <w:i/>
          <w:iCs/>
          <w:color w:val="16513F"/>
          <w:sz w:val="22"/>
          <w:szCs w:val="22"/>
        </w:rPr>
        <w:t xml:space="preserve">Vector Cloud, Inc.  ·  Seattle, WA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Built core platform engineering function from 0 to 65 engineers, supporting 14 product teams.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Led integration of two acquired companies, on-time and under budget; retained 92% of acquired engineering talent.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Defined and rolled out engineering career framework now in use across 600+ engineers company-wide.</w:t>
      </w:r>
    </w:p>
    <w:p>
      <w:pPr>
        <w:tabs>
          <w:tab w:val="right" w:pos="9360"/>
        </w:tabs>
        <w:spacing w:after="0" w:before="240"/>
      </w:pPr>
      <w:r>
        <w:rPr>
          <w:b/>
          <w:bCs/>
          <w:sz w:val="24"/>
          <w:szCs w:val="24"/>
        </w:rPr>
        <w:t xml:space="preserve">Director of Engineering</w:t>
      </w:r>
      <w:r>
        <w:rPr>
          <w:color w:val="6B7075"/>
          <w:sz w:val="22"/>
          <w:szCs w:val="22"/>
        </w:rPr>
        <w:t xml:space="preserve">	2012 — 2016</w:t>
      </w:r>
    </w:p>
    <w:p>
      <w:pPr>
        <w:spacing w:after="100"/>
      </w:pPr>
      <w:r>
        <w:rPr>
          <w:i/>
          <w:iCs/>
          <w:color w:val="16513F"/>
          <w:sz w:val="22"/>
          <w:szCs w:val="22"/>
        </w:rPr>
        <w:t xml:space="preserve">Helio Systems  ·  Boston, MA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Promoted twice in four years; managed teams responsible for the company’s flagship product, used by 10,000+ enterprise customers.</w:t>
      </w:r>
    </w:p>
    <w:p>
      <w:pPr>
        <w:pBdr>
          <w:top w:val="single" w:color="16513F" w:sz="8" w:space="6"/>
          <w:bottom w:val="single" w:color="16513F" w:sz="8" w:space="6"/>
        </w:pBdr>
        <w:spacing w:after="140" w:before="280"/>
        <w:jc w:val="center"/>
      </w:pPr>
      <w:r>
        <w:rPr>
          <w:b/>
          <w:bCs/>
          <w:color w:val="16513F"/>
          <w:spacing w:val="10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0" w:before="80"/>
      </w:pPr>
      <w:r>
        <w:rPr>
          <w:b/>
          <w:bCs/>
          <w:sz w:val="22"/>
          <w:szCs w:val="22"/>
        </w:rPr>
        <w:t xml:space="preserve">M.S. Computer Science</w:t>
      </w:r>
      <w:r>
        <w:rPr>
          <w:color w:val="6B7075"/>
          <w:sz w:val="22"/>
          <w:szCs w:val="22"/>
        </w:rPr>
        <w:t xml:space="preserve">	2006 — 2008</w:t>
      </w:r>
    </w:p>
    <w:p>
      <w:pPr>
        <w:spacing w:after="120"/>
      </w:pPr>
      <w:r>
        <w:rPr>
          <w:i/>
          <w:iCs/>
          <w:color w:val="6B7075"/>
          <w:sz w:val="22"/>
          <w:szCs w:val="22"/>
        </w:rPr>
        <w:t xml:space="preserve">Stanford University  ·  Stanford, CA</w:t>
      </w:r>
    </w:p>
    <w:p>
      <w:pPr>
        <w:tabs>
          <w:tab w:val="right" w:pos="9360"/>
        </w:tabs>
        <w:spacing w:after="0"/>
      </w:pPr>
      <w:r>
        <w:rPr>
          <w:b/>
          <w:bCs/>
          <w:sz w:val="22"/>
          <w:szCs w:val="22"/>
        </w:rPr>
        <w:t xml:space="preserve">B.S. Electrical Engineering</w:t>
      </w:r>
      <w:r>
        <w:rPr>
          <w:color w:val="6B7075"/>
          <w:sz w:val="22"/>
          <w:szCs w:val="22"/>
        </w:rPr>
        <w:t xml:space="preserve">	2002 — 2006</w:t>
      </w:r>
    </w:p>
    <w:p>
      <w:pPr>
        <w:spacing w:after="60"/>
      </w:pPr>
      <w:r>
        <w:rPr>
          <w:i/>
          <w:iCs/>
          <w:color w:val="6B7075"/>
          <w:sz w:val="22"/>
          <w:szCs w:val="22"/>
        </w:rPr>
        <w:t xml:space="preserve">Massachusetts Institute of Technology  ·  Cambridge, MA</w:t>
      </w:r>
    </w:p>
    <w:p>
      <w:pPr>
        <w:pBdr>
          <w:top w:val="single" w:color="16513F" w:sz="8" w:space="6"/>
          <w:bottom w:val="single" w:color="16513F" w:sz="8" w:space="6"/>
        </w:pBdr>
        <w:spacing w:after="140" w:before="280"/>
        <w:jc w:val="center"/>
      </w:pPr>
      <w:r>
        <w:rPr>
          <w:b/>
          <w:bCs/>
          <w:color w:val="16513F"/>
          <w:spacing w:val="100"/>
          <w:sz w:val="22"/>
          <w:szCs w:val="22"/>
        </w:rPr>
        <w:t xml:space="preserve">BOARD &amp; ADVISORY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Board Advisor — Glow Health (Series B, healthcare AI), 2023 — Present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Mentor — On Deck Engineering Leaders, 2021 — Present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Speaker — QCon, LeadDev, Web Summit (2018 — 2024)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2026-05-09T18:09:35.757Z</dcterms:created>
  <dcterms:modified xsi:type="dcterms:W3CDTF">2026-05-09T18:09:35.757Z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